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RQO SIG Grant Review Committee Guidelines for Scoring Grant Applications</w:t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Updated: 4/3/2025</w:t>
      </w:r>
    </w:p>
    <w:p w:rsidR="00000000" w:rsidDel="00000000" w:rsidP="00000000" w:rsidRDefault="00000000" w:rsidRPr="00000000" w14:paraId="00000003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read each of the applications, bearing in mind the following guidelines to ensure each application meets the requirements outlined below: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Appropriate: </w:t>
      </w:r>
      <w:r w:rsidDel="00000000" w:rsidR="00000000" w:rsidRPr="00000000">
        <w:rPr>
          <w:sz w:val="20"/>
          <w:szCs w:val="20"/>
          <w:rtl w:val="0"/>
        </w:rPr>
        <w:t xml:space="preserve">Does the application meet all necessary requirements outlined by application?</w:t>
      </w:r>
      <w:r w:rsidDel="00000000" w:rsidR="00000000" w:rsidRPr="00000000">
        <w:rPr>
          <w:sz w:val="20"/>
          <w:szCs w:val="20"/>
          <w:rtl w:val="0"/>
        </w:rPr>
        <w:t xml:space="preserve"> This includes all required content (cover page, COI statement, project description, timeline, budget, and biographical justification of key personnel) and ensures funding requests are appropriate (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no</w:t>
      </w:r>
      <w:r w:rsidDel="00000000" w:rsidR="00000000" w:rsidRPr="00000000">
        <w:rPr>
          <w:sz w:val="20"/>
          <w:szCs w:val="20"/>
          <w:rtl w:val="0"/>
        </w:rPr>
        <w:t xml:space="preserve"> requests for salary support, indirect or fringe institutional costs, travel, conference attendance, posters, or publication fees).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Feasibility: </w:t>
      </w:r>
      <w:r w:rsidDel="00000000" w:rsidR="00000000" w:rsidRPr="00000000">
        <w:rPr>
          <w:sz w:val="20"/>
          <w:szCs w:val="20"/>
          <w:rtl w:val="0"/>
        </w:rPr>
        <w:t xml:space="preserve">Is the project feasible within the timeline and budget proposed?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Methods Appropriate: </w:t>
      </w:r>
      <w:r w:rsidDel="00000000" w:rsidR="00000000" w:rsidRPr="00000000">
        <w:rPr>
          <w:sz w:val="20"/>
          <w:szCs w:val="20"/>
          <w:rtl w:val="0"/>
        </w:rPr>
        <w:t xml:space="preserve">Are the methods appropriate to answer the research question?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Alignment with NSGC Strategic Initiatives (SI):</w:t>
      </w:r>
      <w:r w:rsidDel="00000000" w:rsidR="00000000" w:rsidRPr="00000000">
        <w:rPr>
          <w:sz w:val="20"/>
          <w:szCs w:val="20"/>
          <w:rtl w:val="0"/>
        </w:rPr>
        <w:t xml:space="preserve"> Is there clear alignment with one or more of NSGC’s strategic mission and vision?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Promote Patient Access and Competitive Reimbursement: </w:t>
      </w:r>
      <w:r w:rsidDel="00000000" w:rsidR="00000000" w:rsidRPr="00000000">
        <w:rPr>
          <w:sz w:val="20"/>
          <w:szCs w:val="20"/>
          <w:rtl w:val="0"/>
        </w:rPr>
        <w:t xml:space="preserve">Does the application promote patient access to GC, especially by licensure, federal recognition, or engaging payors?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GCs as Genomic Experts: </w:t>
      </w:r>
      <w:r w:rsidDel="00000000" w:rsidR="00000000" w:rsidRPr="00000000">
        <w:rPr>
          <w:sz w:val="20"/>
          <w:szCs w:val="20"/>
          <w:rtl w:val="0"/>
        </w:rPr>
        <w:t xml:space="preserve">Does the application encourage genetic counselor visibility/influence/global connectivity?  Especially for example in the use of new technologies.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before="0" w:beforeAutospacing="0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GC Community: </w:t>
      </w:r>
      <w:r w:rsidDel="00000000" w:rsidR="00000000" w:rsidRPr="00000000">
        <w:rPr>
          <w:sz w:val="20"/>
          <w:szCs w:val="20"/>
          <w:rtl w:val="0"/>
        </w:rPr>
        <w:t xml:space="preserve">Does the application address supporting NSCG members and/or the genetic counselor profession in inclusion and belonging, and meet needs to support GCs professional growth and growing the GC membership?</w:t>
      </w:r>
    </w:p>
    <w:p w:rsidR="00000000" w:rsidDel="00000000" w:rsidP="00000000" w:rsidRDefault="00000000" w:rsidRPr="00000000" w14:paraId="0000000B">
      <w:pPr>
        <w:spacing w:before="0" w:line="240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SIG Grant Award – Scoring Rubric: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0" w:line="240" w:lineRule="auto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rate each applicant’s proposal according to the requirements described below on a 5 point Likert scale where: </w:t>
      </w:r>
    </w:p>
    <w:p w:rsidR="00000000" w:rsidDel="00000000" w:rsidP="00000000" w:rsidRDefault="00000000" w:rsidRPr="00000000" w14:paraId="0000000F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= strongly agree, 4 = agree, 3 = neither agree nor disagree (or N/A), 2 = disagree, and 1 = strongly disagree </w:t>
      </w:r>
    </w:p>
    <w:p w:rsidR="00000000" w:rsidDel="00000000" w:rsidP="00000000" w:rsidRDefault="00000000" w:rsidRPr="00000000" w14:paraId="00000010">
      <w:pPr>
        <w:spacing w:before="0" w:line="240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NOTE: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If a SI is not applicable to the application, please rate a “3”.</w:t>
      </w:r>
    </w:p>
    <w:p w:rsidR="00000000" w:rsidDel="00000000" w:rsidP="00000000" w:rsidRDefault="00000000" w:rsidRPr="00000000" w14:paraId="00000011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345"/>
        <w:gridCol w:w="270"/>
        <w:gridCol w:w="510"/>
        <w:gridCol w:w="165"/>
        <w:gridCol w:w="375"/>
        <w:gridCol w:w="510"/>
        <w:gridCol w:w="180"/>
        <w:gridCol w:w="330"/>
        <w:gridCol w:w="570"/>
        <w:gridCol w:w="165"/>
        <w:gridCol w:w="405"/>
        <w:gridCol w:w="615"/>
        <w:gridCol w:w="1290"/>
        <w:gridCol w:w="1155"/>
        <w:gridCol w:w="1245"/>
        <w:gridCol w:w="765"/>
        <w:gridCol w:w="1515"/>
        <w:gridCol w:w="1635"/>
        <w:tblGridChange w:id="0">
          <w:tblGrid>
            <w:gridCol w:w="345"/>
            <w:gridCol w:w="345"/>
            <w:gridCol w:w="270"/>
            <w:gridCol w:w="510"/>
            <w:gridCol w:w="165"/>
            <w:gridCol w:w="375"/>
            <w:gridCol w:w="510"/>
            <w:gridCol w:w="180"/>
            <w:gridCol w:w="330"/>
            <w:gridCol w:w="570"/>
            <w:gridCol w:w="165"/>
            <w:gridCol w:w="405"/>
            <w:gridCol w:w="615"/>
            <w:gridCol w:w="1290"/>
            <w:gridCol w:w="1155"/>
            <w:gridCol w:w="1245"/>
            <w:gridCol w:w="765"/>
            <w:gridCol w:w="1515"/>
            <w:gridCol w:w="163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Approach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Alignment (NSGC 2025-2027 Strategic Initiatives)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Proposal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Appropriate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Feasibility?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Methods Appropriate?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GCs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Genomic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Experts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GC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Community: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Inclusion, belonging,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Professional growth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Overall Impression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(Approve/Reject)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Comments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Reviewer Comments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 (to be provided to applicants)</w:t>
            </w:r>
          </w:p>
        </w:tc>
      </w:tr>
      <w:tr>
        <w:trPr>
          <w:cantSplit w:val="0"/>
          <w:trHeight w:val="423.9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before="240" w:lineRule="auto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